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ffff"/>
          <w:sz w:val="24"/>
          <w:szCs w:val="24"/>
          <w:vertAlign w:val="baseline"/>
          <w:rtl w:val="0"/>
        </w:rPr>
        <w:t xml:space="preserve">                         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410017" cy="1410017"/>
            <wp:effectExtent b="0" l="0" r="0" t="0"/>
            <wp:wrapSquare wrapText="bothSides" distB="114300" distT="114300" distL="114300" distR="114300"/>
            <wp:docPr descr="Aktyw-logo-full-black.png" id="1" name="image01.png"/>
            <a:graphic>
              <a:graphicData uri="http://schemas.openxmlformats.org/drawingml/2006/picture">
                <pic:pic>
                  <pic:nvPicPr>
                    <pic:cNvPr descr="Aktyw-logo-full-black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0017" cy="1410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5.6" w:lineRule="auto"/>
        <w:ind w:left="720" w:firstLine="84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Aktyw BHP S.C.,  02-361 Warszawa, ul.  Przemyska 11a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tel. (22) 824-03-66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OCENA RYZYKA ZAWODOWEGO FORMULARZ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(stanowisko robotnicze)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Dział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 </w:t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Nazwa stanowiska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Charakterystyka stanowiska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(krótki opis technologii, rodzaju wykonywanych </w:t>
        <w:br w:type="textWrapping"/>
        <w:t xml:space="preserve">czynności, elementy wyposażenia, materiały, strefy zagrożenia)</w:t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Dane o zatrudnieniu: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liczba zatrudnionych na stanowisku:</w:t>
        <w:tab/>
      </w:r>
    </w:p>
    <w:p w:rsidR="00000000" w:rsidDel="00000000" w:rsidP="00000000" w:rsidRDefault="00000000" w:rsidRPr="00000000">
      <w:pPr>
        <w:keepNext w:val="1"/>
        <w:tabs>
          <w:tab w:val="left" w:pos="5812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 tym:       mężczyźni ........ kobiety .........młodociani</w:t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zawód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przebyte szkolenia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Czynniki występujące na stanowisku: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93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969"/>
          <w:tab w:val="left" w:pos="7938"/>
        </w:tabs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CZYNNIKI CHEMICZNE: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969"/>
          <w:tab w:val="left" w:pos="7938"/>
        </w:tabs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PYŁY: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969"/>
          <w:tab w:val="left" w:pos="7938"/>
        </w:tabs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CZYNNIKI FIZYCZNE: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Hałas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Hałas 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Hałas infradźwiękowy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Hałas ultradźwiękowy 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Oświetlenie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Natężenie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Olśnienie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Równomierność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Tętnienie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Rozróżnianie barw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Drgania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Miejscowe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Ogólne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Promieniowanie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Laserowe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Nadfioletowe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Podczerwone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Pole 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Magnetostatyczne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50 Hz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1-100 KHz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0.1-10 MHz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10-300 MHz   </w:t>
        <w:br w:type="textWrapping"/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0.3-3000 GHz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Mikroklimat 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gorący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zimny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Mechaniczne: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Przemieszczające się maszyny oraz transportowane przedmioty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Ruchome elementy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Ostre, wystające chropowate przedmioty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Spadające elementy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Płyny pod ciśnieniem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Śliskie, nierówne powierzchnie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Ograniczone przestrzenie (dojścia, przejścia, odstępy)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Praca na wysokości lub w zagłębieniach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Inne np. powierzchnie gorące, zimne lub żrące substancje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 CZYNNIKI BIOLOGICZNE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Wirusy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Riketsje i mikroplazmy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Bakterie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Glony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Porosty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Grzyby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Mszaki</w:t>
        <w:br w:type="textWrapping"/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Paprotniki i rośliny nasienne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Pierwotniaki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Gąbki i jamochłony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Robaki</w:t>
        <w:br w:type="textWrapping"/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Stawonogi i inne bezkręgowce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Kręgowce (ryby, płazy, gady, ptaki, ssaki)</w:t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969"/>
          <w:tab w:val="left" w:pos="7938"/>
        </w:tabs>
        <w:spacing w:after="0" w:before="0" w:line="360" w:lineRule="auto"/>
        <w:ind w:left="3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CZYNNIKI UCIĄŻLIWE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7938"/>
        </w:tabs>
        <w:spacing w:after="0" w:before="0" w:line="360" w:lineRule="auto"/>
        <w:contextualSpacing w:val="0"/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Hałas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Hałas infradźwiękowy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Obciążenie statyczne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Monotypia   </w:t>
        <w:br w:type="textWrapping"/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Wysiłek fizyczny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Obciążenie psychiczne  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Mikroklimat umiarkowany</w:t>
      </w:r>
    </w:p>
    <w:p w:rsidR="00000000" w:rsidDel="00000000" w:rsidP="00000000" w:rsidRDefault="00000000" w:rsidRPr="00000000">
      <w:pPr>
        <w:spacing w:after="0" w:before="0" w:line="240" w:lineRule="auto"/>
        <w:ind w:left="454" w:firstLine="0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31.2" w:lineRule="auto"/>
      <w:contextualSpacing w:val="0"/>
      <w:jc w:val="center"/>
    </w:pPr>
    <w:r w:rsidDel="00000000" w:rsidR="00000000" w:rsidRPr="00000000">
      <w:rPr>
        <w:color w:val="666666"/>
        <w:sz w:val="18"/>
        <w:szCs w:val="18"/>
        <w:rtl w:val="0"/>
      </w:rPr>
      <w:t xml:space="preserve">Copyright © Aktyw-BHP S.C. - Wszelkie prawa zastrzeżone.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